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党组织诊断工作指南</w:t>
      </w:r>
    </w:p>
    <w:bookmarkEnd w:id="0"/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W w:w="0" w:type="auto"/>
        <w:tblInd w:w="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5898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581" w:type="dxa"/>
            <w:vAlign w:val="bottom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9373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自查情况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8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党组织领导和运行机制到位</w:t>
            </w: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1）加强党的政治建设，深化习近平新时代中国特色社会主义思想的宣传教育，树牢“四个意识”，坚定“四个自信”，做到“两个维护”。通过党组织会议、党政联席会议等形式及时传达部署、认真贯彻落实上级党组织决议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根据中组部、教育部党组《关于印发普通高等学校院（系）党委会会议和党政联席会议议事规则示范文本通知》（教党〔2020〕51号）精神，修订完善院（系）党组织和党政联席会议规则议事规则，党组织会议、党政联席会议边界明确、运行顺畅，决策议事规则清晰规范、执行到位，严格落实党组织会议“研究决定”“前置讨论”的要求，即有关党的建设，包括干部选拔任用、基层党组织和党员队伍建设等由党组织会议研究决定；涉及办学方向、教师队伍建设、师生员工切身利益等重大事项由党组织会议先行把关，再提交党政联席会议决定。</w:t>
            </w:r>
          </w:p>
        </w:tc>
        <w:tc>
          <w:tcPr>
            <w:tcW w:w="1753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60" w:leftChars="0" w:hanging="560" w:hangingChars="200"/>
              <w:jc w:val="both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（3）认真落实党政交叉任职，党员院长一般应同时任院党组织副书记或委员，党员副院长一般应进入院党组织领导班子。院党政正职一肩挑的，应配备专职常务副书记。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院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班子和谐，成员工作职责明晰，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集体领导、党政分工负责、协调运行的工作机制顺畅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5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（4）配齐建强党务干部队伍，每个院至少配备1至2名专职组织员。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58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政治把关作用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到位</w:t>
            </w: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（1）意识形态工作体系健全、制度规范、责任明晰，落实到岗到人。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）网络意识形态责任落实到位，注重增强风险防控意识和能力，加强网络阵地管理，做强正面思想舆论，做好舆论引导、舆情应对工作。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）在教师引进、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课程建设、教材选用、学术活动等重大问题上把好政治关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，程序规范、责任明晰、成效突出。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（4）院党组织定期研究学术组织、研究机构、学生社团建设发展工作，明确专门院领导或党员干部联系指导开展工作。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（5）严格执行“一会一报”“一事一报”制度，加强哲学社会科学类报告会、研讨会、论坛等审批把关、指导管理。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60" w:hanging="560" w:hangingChars="2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6）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统筹课堂教学、教材建设、项目资助、对外交流等工作，着力做好少数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民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族学生教育等工作，确保学校和谐稳定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58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思想政治工作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到位</w:t>
            </w: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）理论中心组学习制度、师生政治理论学习制度健全完善，扎实推进习近平新时代中国特色社会主义思想进教材、进课堂、进头脑。定期调研分析党员和师生思想政治状况，加强师生理想信念教育，强化党员日常教育培训。坚持党政主要负责同志每学期讲党课和思想政治理论课制度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60" w:leftChars="0" w:hanging="560" w:hangingChars="200"/>
              <w:jc w:val="both"/>
              <w:textAlignment w:val="auto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加强和改进新时代思想政治工作，结合专业设置，深入挖掘思政元素，统筹推进全员、全过程、全方位育人，推进社会主义核心价值观培养和践行，加强师德师风、教风学风建设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8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基层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组织制度执行到位</w:t>
            </w: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坚持党政班子成员联系师生党支部制度，推动基层党建任务落到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党支部。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  <w:t>（2）合理设置党支部，教师党支部一般按院内设的教学、科研机构进行设置，避免跨学科跨专业设置，可探索依托重大项目组、学科组、课题组、创新团队、科研平台、中外合作办学项目和机构等设置教师党支部或师生联合党支部，教师党支部书记应为“双带头人”；校部机关一般按处室设置党支部，党员行政主要负责人担任党支部书记；学生党支部一般按年级、班级或专业等设置，可探索依托重大项目组、课题组和学生公寓、社区、社团组织等建立党组织。党支部党员人数一般在30人以内，不得超过50人。</w:t>
            </w:r>
          </w:p>
        </w:tc>
        <w:tc>
          <w:tcPr>
            <w:tcW w:w="1753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  <w:t>（3）建立健全党支部工作考核评价办法，完善责任清单，细化责任要求，加强督促检查。做好党支部书记抓党建述职评议考核工作。</w:t>
            </w:r>
          </w:p>
        </w:tc>
        <w:tc>
          <w:tcPr>
            <w:tcW w:w="175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4）巩固深化“不忘初心、牢记使命”主题教育成果，推进“两学一做”学习教育常态化制度化，党员领导干部民主生活会、“三会一课”和民主评议党员等制度执行严格。党员领导干部按规定参加双重组织生活落实到位。</w:t>
            </w:r>
          </w:p>
        </w:tc>
        <w:tc>
          <w:tcPr>
            <w:tcW w:w="175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（5）严格党员日常管理，组织关系管理有序，党费收缴管理规范。做好党内统计工作，加强党建工作信息化建设。推动党务公开。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（6）组织师生党员充分发挥先锋模范作用，带头攻坚克难，承担重大改革发展稳定任务，积极做好联系服务群众工作，努力帮助师生解决实际问题。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（7）健全党风廉政建设制度，加强对师生党员的教育监督管理，对苗头性、倾向性问题，及时咬耳扯袖、督促改正。对违反党纪的党员，及时报请上级党组织研究批准，按程序作出党纪处分、组织处置。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（8）认真履行“双带头人”教师党支部书记培育责任，做好“双带头人”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党支部书记选配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、培养、使用等工作，实现教师党支部书记“双带头人”全覆盖。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（9）注重从优秀辅导员、骨干教师、优秀大学生党员中选拔学生党支部书记，选优配强学生党支部书记和支部委员。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（10）细化年度教师党员发展工作，每年在高层次领军人才、青年优秀教师中发展一定数量党员。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党组织书记、教师党支部书记常态化联系教师入党积极分子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0" w:leftChars="0" w:hanging="840" w:hangingChars="3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（11）严把党员发展质量关，做好在学生中发展党员工作，将“推荐优秀团员作为入党积极分子”作为重要渠道，重视发展少数民族学生入党。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58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推动改革发展到位</w:t>
            </w: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）强化党组织政治功能、组织功能和服务功能，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做好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组织、宣传、凝聚、服务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师生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团结凝聚、引领带动师生积极投身人才培养、学科建设、科研管理等重大改革、重要事项、重点安排，取得优异成绩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（2）做好统战工作，加强对党外知识分子的思想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政治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引领，抓好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少数民族学生教育管理服务工作和抵御防范校园宗教渗透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等工作。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spacing w:line="400" w:lineRule="exact"/>
              <w:ind w:left="664" w:hanging="663" w:hangingChars="23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（3）坚持以党的建设带动群团组织建设，加强院工会、教代会工作和共青团工作，加强对学生社团的管理、引导、服务和联系。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81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60" w:leftChars="0" w:hanging="560" w:hangingChars="200"/>
              <w:jc w:val="both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（4）全方位管理重点事项、重点对象、重要节点、重要阵地，健全完善师生安全稳定教育体系、综合防控体系和应急处置体系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党支部诊断工作指南</w:t>
      </w:r>
    </w:p>
    <w:tbl>
      <w:tblPr>
        <w:tblStyle w:val="9"/>
        <w:tblW w:w="0" w:type="auto"/>
        <w:tblInd w:w="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5860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黑体" w:eastAsia="黑体"/>
                <w:kern w:val="0"/>
                <w:sz w:val="28"/>
                <w:szCs w:val="21"/>
              </w:rPr>
              <w:t>一级指标</w:t>
            </w:r>
          </w:p>
        </w:tc>
        <w:tc>
          <w:tcPr>
            <w:tcW w:w="9386" w:type="dxa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黑体" w:eastAsia="黑体"/>
                <w:kern w:val="0"/>
                <w:sz w:val="28"/>
                <w:szCs w:val="21"/>
              </w:rPr>
              <w:t>二级指标</w:t>
            </w:r>
          </w:p>
        </w:tc>
        <w:tc>
          <w:tcPr>
            <w:tcW w:w="1761" w:type="dxa"/>
            <w:vAlign w:val="center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自查情况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教育党员有力</w:t>
            </w:r>
          </w:p>
        </w:tc>
        <w:tc>
          <w:tcPr>
            <w:tcW w:w="9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认真学习全国和福建省高校思想政治工作会议、全国和全省教育大会、学校思想政治理论课教师座谈会等精神，树牢“四个意识”，坚定“四个自信”，做到“两个维护”。贯彻落实党的路线方针政策，宣传执行上级党组织及本支部的决议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（2）认真开展党史学习教育，巩固深化“不忘初心、牢记使命”主题教育成果，推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进“两学一做”学习教育常态化制度化，“三会一课”突出政治学习和党性锻炼，做到形式多样、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氛围庄重。每月召开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次党小组会（不设党小组的支部召开支部大会）和支部委员会会议，一般每季度召开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次支部党员大会。党支部书记每年至少讲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次党课。党员领导干部按规定过好双重组织生活。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（3）每月相对固定1天开展主题党日，组织党员集中学习、过组织生活、进行民主议事、开展志愿服务等活动。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560" w:leftChars="0" w:hanging="560" w:hangingChars="200"/>
              <w:jc w:val="both"/>
              <w:textAlignment w:val="auto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教师党支部经常开展师德师风教育活动，每位教师每年参加师德学习教育不少于10个学时，实行师德“一票否决制”。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管理党员有力</w:t>
            </w:r>
          </w:p>
        </w:tc>
        <w:tc>
          <w:tcPr>
            <w:tcW w:w="9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）坚持党员发展标准，严格党员发展程序，注重政治合格，端正师生入党动机。教师党支部积极团结凝聚高层次人才、优秀青年教师、海外留学归国教师，符合条件的及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时吸收入党。学生党支部将“推荐优秀团员作为入党积极分子人选”作为重要渠道，严把“质量关”，重视发展少数民族学生入党。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）党员组织隶属关系明晰，按规定做好党员党组织关系接转、流动党员和出国境党员管理。严格落实党费收缴、使用和管理工作。党员激励关怀帮扶工作务实管用、常态长效。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）按年度组织师生党员开展集中学习培训，时间一般不少于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个学时。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560" w:leftChars="0" w:hanging="560" w:hangingChars="2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（4）教育引导师生党员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做到“四个合格”，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在日常教学科研生活中亮出党员身份、立起先进标尺、树立先锋形象，教师党员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努力成为“四有好老师”“四个引路人”和“四个相统一”的表率，学生党员努力成为“爱国、励志、求真、力行”“勤学、修德、明辨、笃行”“六有大学生”的表率。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监督党员有力</w:t>
            </w: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严格用党章党规党纪规范党员行为，教育引导党员模范遵守教师职业道德规范、践行学术道德、严守纪律底线，为推动形成优良党风、校风、学风作贡献。落实谈心谈话制度，党支部委员之间、党支部委员和党员之间、党员和党员之间，每年谈心谈话一般不少于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次。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840" w:hanging="840" w:hangingChars="3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）及时掌握了解党员思想动态，善于发现苗头性倾向性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问题，“咬耳扯袖”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成为常态。每年至少召开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次组织生活会，严肃开展批评和自我批评，认真查摆和解决问题。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）党支部一般每学期末向上级党组织报告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次支部工作，每年向支部党员大会报告工作情况。党员一般每年向党支部汇报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次学习、思想和工作情况。党支部一般每年开展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次民主评议党员。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840" w:leftChars="0" w:hanging="840" w:hangingChars="3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）党员组织处置等措施有效运用、稳妥有序。党员退出机制健全，及时稳妥处置不合格党员。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组织师生有力</w:t>
            </w: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）积极参与本单位重要事项讨论决策，师生思想政治工作针对性和亲和力强，最大限度地把师生组织起来，引领带动师生积极投身学校改革发展、维护学校和谐稳定。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）教师党支部团结带领广大教师落实立德树人根本任务，不断提高人才培养质量。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560" w:leftChars="0" w:hanging="560" w:hangingChars="2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）学生党支部积极参与班级、年级、学生组织管理工作，引领优良班风学风校风建设，推进社会主义核心价值观培育践行。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宣传师生有力</w:t>
            </w: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）组织开展习近平新时代中国特色社会主义思想学习教育，引领师生听党话、跟党走，把师生思想统一到党中央决策部署上来。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（2）认真贯彻落实党的路线方针政策，及时学习传达上级党组织的决议，结合本单位实际抓好组织落实。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（3）巩固马克思主义在高校意识形态领域的指导地位，有效防止各类错误思想文化侵蚀，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抵御防范校园宗教渗透，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教育引导师生在课堂教学、论坛讲座等活动中坚持正确的政治立场、政治方向、政治原则、政治道路。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（4）注重发现挖掘师生身边典型，深入提炼树立具有较大影响力代表性、可学习可复制的典型经验、典型人物、典型事迹。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560" w:leftChars="0" w:hanging="560" w:hangingChars="2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（5）充分利用校园内外、网上网下等宣传平台，通过组织宣讲报告、座谈交流、文化文艺活动等形式，广泛宣传典型，充分发挥示范带动作用，形成广大师生学做先进、争当先进的深厚氛围。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凝聚师生有力</w:t>
            </w: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）教育引导支部党员、任课教师深入挖掘提炼各门课程中蕴含的思想政治教育元素，发挥“课程思政”育人功能。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）把思想价值引领贯穿支部党员、单位教师论文选题、科研立项、教学改革等工作中，推进师生遵循中国特色学术评价标准和科研评价办法。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）把社会主义核心价值观培育践行贯穿师生专业课实践教学、社会实践活动、创新创业教育、志愿服务等过程，增强思想引领和价值观塑造的实效性。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560" w:leftChars="0" w:hanging="560" w:hangingChars="2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）关心了解师生思想政治状况，及时回应师生重大关切，防止各类错误思想文化侵蚀，建立健全预警机制，积极做好教育引导工作。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服务师生有力</w:t>
            </w: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）坚持以支部党的建设带动所在单位团组织、工会组织建设，常态化做好联系、服务师生工作。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2" w:type="dxa"/>
            <w:vMerge w:val="continue"/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4" w:hanging="663" w:hangingChars="237"/>
              <w:jc w:val="both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）健全困难师生关心帮扶机制，把解决思想问题和解决实际问题相结合，积极开展服务、帮扶、慰问等活动。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92" w:type="dxa"/>
            <w:vMerge w:val="continue"/>
            <w:tcBorders>
              <w:bottom w:val="single" w:color="auto" w:sz="4" w:space="0"/>
            </w:tcBorders>
          </w:tcPr>
          <w:p>
            <w:pPr>
              <w:pStyle w:val="2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38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560" w:leftChars="0" w:hanging="560" w:hangingChars="200"/>
              <w:jc w:val="both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）搭建交流平台，丰富服务载体，及时了解、听取、回应师生意见和诉求，把党支部建成党员之家、师生之家，增强师生归属感获得感。</w:t>
            </w:r>
          </w:p>
        </w:tc>
        <w:tc>
          <w:tcPr>
            <w:tcW w:w="17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70280775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0280775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12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2A0CD"/>
    <w:multiLevelType w:val="singleLevel"/>
    <w:tmpl w:val="A552A0C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26"/>
    <w:rsid w:val="00025E01"/>
    <w:rsid w:val="00143DF7"/>
    <w:rsid w:val="001E1628"/>
    <w:rsid w:val="0020180C"/>
    <w:rsid w:val="00206B76"/>
    <w:rsid w:val="002144A2"/>
    <w:rsid w:val="003549F1"/>
    <w:rsid w:val="00405ACA"/>
    <w:rsid w:val="00415914"/>
    <w:rsid w:val="00533294"/>
    <w:rsid w:val="00533FAA"/>
    <w:rsid w:val="00542ECF"/>
    <w:rsid w:val="00596190"/>
    <w:rsid w:val="005E33C6"/>
    <w:rsid w:val="005E733A"/>
    <w:rsid w:val="005F04FF"/>
    <w:rsid w:val="00707B36"/>
    <w:rsid w:val="00765526"/>
    <w:rsid w:val="007D03E7"/>
    <w:rsid w:val="008340B8"/>
    <w:rsid w:val="008C1ABF"/>
    <w:rsid w:val="00AE0F69"/>
    <w:rsid w:val="00B41BE3"/>
    <w:rsid w:val="00B842BA"/>
    <w:rsid w:val="00BF13FD"/>
    <w:rsid w:val="00C720D9"/>
    <w:rsid w:val="00C95E65"/>
    <w:rsid w:val="00CB5DB7"/>
    <w:rsid w:val="00DE03EA"/>
    <w:rsid w:val="00E25FF9"/>
    <w:rsid w:val="00E8456B"/>
    <w:rsid w:val="00EA104D"/>
    <w:rsid w:val="00ED5877"/>
    <w:rsid w:val="00F32D02"/>
    <w:rsid w:val="00F45CB8"/>
    <w:rsid w:val="00F5221C"/>
    <w:rsid w:val="00FA15B3"/>
    <w:rsid w:val="00FC023F"/>
    <w:rsid w:val="00FC03B6"/>
    <w:rsid w:val="040B034B"/>
    <w:rsid w:val="09D61AC7"/>
    <w:rsid w:val="0D105EDD"/>
    <w:rsid w:val="0FC71735"/>
    <w:rsid w:val="113E6E06"/>
    <w:rsid w:val="1C7676C4"/>
    <w:rsid w:val="21642D06"/>
    <w:rsid w:val="21693D79"/>
    <w:rsid w:val="22410C33"/>
    <w:rsid w:val="298E530D"/>
    <w:rsid w:val="2B713E76"/>
    <w:rsid w:val="2F1D0F4F"/>
    <w:rsid w:val="309B18C7"/>
    <w:rsid w:val="34A428C6"/>
    <w:rsid w:val="446B7D8E"/>
    <w:rsid w:val="4CAE27BA"/>
    <w:rsid w:val="50F95530"/>
    <w:rsid w:val="5CEC559A"/>
    <w:rsid w:val="5EB02698"/>
    <w:rsid w:val="5FD928E5"/>
    <w:rsid w:val="692D5066"/>
    <w:rsid w:val="6A46478F"/>
    <w:rsid w:val="6B760092"/>
    <w:rsid w:val="6F1D6D97"/>
    <w:rsid w:val="76E10CBD"/>
    <w:rsid w:val="7AE523D0"/>
    <w:rsid w:val="7C5E18FA"/>
    <w:rsid w:val="7F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18</Pages>
  <Words>6908</Words>
  <Characters>6975</Characters>
  <Lines>34</Lines>
  <Paragraphs>9</Paragraphs>
  <TotalTime>2</TotalTime>
  <ScaleCrop>false</ScaleCrop>
  <LinksUpToDate>false</LinksUpToDate>
  <CharactersWithSpaces>7232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2021-03-23T02:35:00Z</dcterms:created>
  <dc:creator>Windows User</dc:creator>
  <cp:lastModifiedBy>三十二笔茗</cp:lastModifiedBy>
  <dcterms:modified xsi:type="dcterms:W3CDTF">2021-08-18T15:20:05Z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BEDE8C9AC1154D35A85F42C861C32544</vt:lpwstr>
  </property>
</Properties>
</file>