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福州理工学院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楷体" w:eastAsia="方正小标宋简体" w:cs="楷体"/>
          <w:sz w:val="44"/>
          <w:szCs w:val="44"/>
        </w:rPr>
        <w:t>“学习强国·学习之星”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推荐排名表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时间：  年  月  日</w:t>
      </w:r>
    </w:p>
    <w:tbl>
      <w:tblPr>
        <w:tblStyle w:val="8"/>
        <w:tblW w:w="91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3049"/>
        <w:gridCol w:w="3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姓名</w:t>
            </w: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积分</w:t>
            </w: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  <w:tc>
          <w:tcPr>
            <w:tcW w:w="304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楷体" w:eastAsia="方正小标宋简体" w:cs="楷体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方正小标宋简体" w:hAnsi="楷体" w:eastAsia="方正小标宋简体" w:cs="楷体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251B38A9"/>
    <w:rsid w:val="39183A43"/>
    <w:rsid w:val="45096B64"/>
    <w:rsid w:val="497D52DB"/>
    <w:rsid w:val="532024CF"/>
    <w:rsid w:val="5C6B0616"/>
    <w:rsid w:val="5F953B0A"/>
    <w:rsid w:val="659702FE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