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1" w:name="_GoBack"/>
      <w:bookmarkStart w:id="0" w:name="_Toc8529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中共福州理工学院委员会党校教师聘任管理办法（试行）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党校教师队伍建设，规范党校教师聘任工作，提高党校教学质量，根据《中国共产党党校工作条例》、《福州理工学院党校培训工作暂行规定》关于教师队伍建设的有关规定和要求，结合本校工作实际，制定本管理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定期聘任一批政治素质好、理论水平高、教学与研究能力强，热心党校培训工作的教学人员和具有丰富的党务、思想政治、管理等工作经验的党政干部担任教师，组建党校师资库，并实行动态管理。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教师的聘任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党校教师的任职条件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具有共产主义远大理想和中国特色社会主义坚定信念，忠诚于马克思主义，热爱党校教育事业，自觉遵守党的政治纪律，始终同党中央保持一致；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2.马克思主义理论功底扎实，熟悉党的路线、方针、政策，专业知识丰富，勇于理论创新，具有探索、研究重大理论和现实问题的能力；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3.注重调查研究，善于总结实践经验、理论联系实际，掌握现代干部教育方法，具有胜任党校教学工作的能力；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4.学风严谨，品德高尚，为人师表。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（二）党校教师的聘任范围</w:t>
      </w:r>
    </w:p>
    <w:p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5"/>
        <w:textAlignment w:val="auto"/>
        <w:rPr>
          <w:rFonts w:ascii="仿宋_GB2312" w:hAnsi="仿宋_GB2312" w:eastAsia="仿宋_GB2312" w:cs="仿宋_GB2312"/>
          <w:color w:val="22222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6"/>
          <w:sz w:val="32"/>
          <w:szCs w:val="32"/>
        </w:rPr>
        <w:t>1.学校党委委员；</w:t>
      </w:r>
    </w:p>
    <w:p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5"/>
        <w:textAlignment w:val="auto"/>
        <w:rPr>
          <w:rFonts w:ascii="仿宋_GB2312" w:hAnsi="仿宋_GB2312" w:eastAsia="仿宋_GB2312" w:cs="仿宋_GB2312"/>
          <w:color w:val="22222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6"/>
          <w:sz w:val="32"/>
          <w:szCs w:val="32"/>
        </w:rPr>
        <w:t>2.学校党群部门从事党务工作的干部，二级党委书记（副书记）、党支部书记；</w:t>
      </w:r>
    </w:p>
    <w:p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5"/>
        <w:textAlignment w:val="auto"/>
        <w:rPr>
          <w:rFonts w:ascii="仿宋_GB2312" w:hAnsi="仿宋_GB2312" w:eastAsia="仿宋_GB2312" w:cs="仿宋_GB2312"/>
          <w:color w:val="22222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6"/>
          <w:sz w:val="32"/>
          <w:szCs w:val="32"/>
        </w:rPr>
        <w:t>3.学校具有一定学术水平和较强教学能力的人文社会科学、思想政治理论教师；</w:t>
      </w:r>
    </w:p>
    <w:p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5"/>
        <w:textAlignment w:val="auto"/>
        <w:rPr>
          <w:rFonts w:ascii="仿宋_GB2312" w:hAnsi="仿宋_GB2312" w:eastAsia="仿宋_GB2312" w:cs="仿宋_GB2312"/>
          <w:color w:val="22222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6"/>
          <w:sz w:val="32"/>
          <w:szCs w:val="32"/>
        </w:rPr>
        <w:t>4.对党建理论与实践有深入研究的校内外专家、学者和校外领导；</w:t>
      </w:r>
    </w:p>
    <w:p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5"/>
        <w:textAlignment w:val="auto"/>
        <w:rPr>
          <w:rFonts w:ascii="仿宋_GB2312" w:hAnsi="仿宋_GB2312" w:eastAsia="仿宋_GB2312" w:cs="仿宋_GB2312"/>
          <w:color w:val="22222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6"/>
          <w:sz w:val="32"/>
          <w:szCs w:val="32"/>
        </w:rPr>
        <w:t>5.先进模范人物、专家学者等其他适合党校培训教学的人员；</w:t>
      </w:r>
    </w:p>
    <w:p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4" w:firstLineChars="200"/>
        <w:textAlignment w:val="auto"/>
        <w:rPr>
          <w:rFonts w:ascii="楷体" w:hAnsi="楷体" w:eastAsia="楷体" w:cs="楷体"/>
          <w:color w:val="222222"/>
          <w:spacing w:val="6"/>
          <w:sz w:val="32"/>
          <w:szCs w:val="32"/>
        </w:rPr>
      </w:pPr>
      <w:r>
        <w:rPr>
          <w:rFonts w:hint="eastAsia" w:ascii="楷体" w:hAnsi="楷体" w:eastAsia="楷体" w:cs="楷体"/>
          <w:color w:val="222222"/>
          <w:spacing w:val="6"/>
          <w:sz w:val="32"/>
          <w:szCs w:val="32"/>
        </w:rPr>
        <w:t>（三）党校教师的聘任方法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1.根据学校党校和分党校具体的教学计划进行聘任；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2.校党校提出聘任意见，报学校党委会审批；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3.经学校党委会批准同意聘任的人员，组建党校师资库，并由党校颁发聘书，聘期一般为 2 年；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三、教师的职责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承担党校教学工作，帮助和引导学员增强党性修养，提高思想政治素质；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关心党校建设，积极参加党校组织的调查研究、教学研讨、科学研究等活动；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根据教学工作需要，创新教学内容，丰富教学形式，提高教学质量；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根据形势发展和面临的新情况新问题，及时调整充实教学内容或设计心得专题，注重教学课件的创新；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有针对性地给学员答疑解惑。根据培训班的安排，参加主题研讨活动，与学员互动交流，给学员以正确的引导；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四、教师的考核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学员评价：</w:t>
      </w:r>
      <w:r>
        <w:rPr>
          <w:rFonts w:hint="eastAsia" w:ascii="仿宋_GB2312" w:hAnsi="仿宋_GB2312" w:eastAsia="仿宋_GB2312" w:cs="仿宋_GB2312"/>
          <w:sz w:val="32"/>
          <w:szCs w:val="32"/>
        </w:rPr>
        <w:t>每期培训班，学员对授课教师的教学质量（教学内容、教学方法、教学形式、教学效果）进行测评。测评结果记录在党校教学档案；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）党校评价：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各级党校对教师的教学质量、工作态度、到岗及时性、任务完成率等进行综合评价，记入教师档案；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五、教师的管理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（一）学校党校建立党校教师师资库，每两年更新一次。各分校授课老师须从专家库中邀请，如有例外，需经学校党校审批； 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（二）严肃教学纪律，建立党校教师查课备案机制； 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（三）学校党校每年至少召开一次党校教师工作会议，研讨和部署党校教育教学工作； 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（四）学校党校有计划、有针对性地安排党校教师跟班进行理论学习或专题考察； 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（五）学校经常组织党校教师开展学习考察活动。建立党校兼职教师科研平台，设立专项研究课题；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六、教师的待遇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学院党校和分党校在制订培训计划时，应一并制订相关经费预算，报党校校长审批。课酬标准如下：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noWrap w:val="0"/>
            <w:vAlign w:val="center"/>
          </w:tcPr>
          <w:p>
            <w:pPr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职称或职级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课酬标准/学时</w:t>
            </w:r>
          </w:p>
          <w:p>
            <w:pPr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（含误餐费、车贴）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noWrap w:val="0"/>
            <w:vAlign w:val="top"/>
          </w:tcPr>
          <w:p>
            <w:pPr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正高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64" w:type="dxa"/>
            <w:noWrap w:val="0"/>
            <w:vAlign w:val="top"/>
          </w:tcPr>
          <w:p>
            <w:pPr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副高、中层干部、分党委书记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noWrap w:val="0"/>
            <w:vAlign w:val="top"/>
          </w:tcPr>
          <w:p>
            <w:pPr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中级、行政科级、党支部书记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noWrap w:val="0"/>
            <w:vAlign w:val="top"/>
          </w:tcPr>
          <w:p>
            <w:pPr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初级含初级以下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noWrap w:val="0"/>
            <w:vAlign w:val="top"/>
          </w:tcPr>
          <w:p>
            <w:pPr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监考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80</w:t>
            </w:r>
          </w:p>
        </w:tc>
      </w:tr>
    </w:tbl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因特殊情况需要聘请专家授课的，其课酬标准由党校教务处拟定方案，报党委会审批。</w:t>
      </w:r>
    </w:p>
    <w:p>
      <w:pPr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七、附则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本管理办法自发布之日起施行，由学校党校负责解释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page" w:horzAnchor="page" w:tblpX="1640" w:tblpY="14530"/>
        <w:tblW w:w="8840" w:type="dxa"/>
        <w:tblInd w:w="0" w:type="dxa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840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福州理工学院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党委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办公室　　　　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559" w:bottom="1587" w:left="1559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42503"/>
    <w:rsid w:val="029E6FAC"/>
    <w:rsid w:val="07A52778"/>
    <w:rsid w:val="17A968B2"/>
    <w:rsid w:val="24A43855"/>
    <w:rsid w:val="287B4563"/>
    <w:rsid w:val="2D9C4630"/>
    <w:rsid w:val="2E720058"/>
    <w:rsid w:val="37830D14"/>
    <w:rsid w:val="387875ED"/>
    <w:rsid w:val="39E50B33"/>
    <w:rsid w:val="3A4772C9"/>
    <w:rsid w:val="3B7F375E"/>
    <w:rsid w:val="3F775724"/>
    <w:rsid w:val="499B5B5F"/>
    <w:rsid w:val="4CD61F48"/>
    <w:rsid w:val="59642503"/>
    <w:rsid w:val="5AEC2AA3"/>
    <w:rsid w:val="62636A14"/>
    <w:rsid w:val="636F4EA1"/>
    <w:rsid w:val="64391602"/>
    <w:rsid w:val="685B4075"/>
    <w:rsid w:val="6A5B248F"/>
    <w:rsid w:val="6BB954B9"/>
    <w:rsid w:val="754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uppressAutoHyphens w:val="0"/>
      <w:spacing w:beforeAutospacing="1" w:afterAutospacing="1"/>
      <w:jc w:val="left"/>
    </w:pPr>
    <w:rPr>
      <w:rFonts w:eastAsia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8271</Words>
  <Characters>8307</Characters>
  <Lines>0</Lines>
  <Paragraphs>0</Paragraphs>
  <TotalTime>1</TotalTime>
  <ScaleCrop>false</ScaleCrop>
  <LinksUpToDate>false</LinksUpToDate>
  <CharactersWithSpaces>8556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2021-01-25T08:07:00Z</dcterms:created>
  <dc:creator>思思</dc:creator>
  <cp:lastModifiedBy>三十二笔茗</cp:lastModifiedBy>
  <dcterms:modified xsi:type="dcterms:W3CDTF">2021-11-22T02:56:10Z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FC56BCFF27374FA5ADF4874CA5B477F3</vt:lpwstr>
  </property>
</Properties>
</file>